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91C85" w14:textId="4A3EF670" w:rsidR="00106985" w:rsidRPr="00106985" w:rsidRDefault="00106985" w:rsidP="005409D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</w:pPr>
      <w:bookmarkStart w:id="0" w:name="_GoBack"/>
      <w:bookmarkEnd w:id="0"/>
      <w:r w:rsidRPr="00106985"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>ORDENANZ</w:t>
      </w:r>
      <w:r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 xml:space="preserve">A REGULADORA DE LA UTILIZACIÓN DE </w:t>
      </w:r>
      <w:r w:rsidRPr="00106985"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>LOCALES</w:t>
      </w:r>
      <w:r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 xml:space="preserve"> Y EDIFICIOS</w:t>
      </w:r>
      <w:r w:rsidRPr="00106985"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 xml:space="preserve"> </w:t>
      </w:r>
      <w:r w:rsidR="00680EDE"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 xml:space="preserve">DE LA ENTIDAD LOCAL MENOR DE </w:t>
      </w:r>
      <w:r w:rsidR="005409DF">
        <w:rPr>
          <w:rFonts w:ascii="Verdana" w:eastAsia="Times New Roman" w:hAnsi="Verdana" w:cs="Times New Roman"/>
          <w:b/>
          <w:bCs/>
          <w:color w:val="333399"/>
          <w:kern w:val="36"/>
          <w:lang w:eastAsia="es-ES"/>
        </w:rPr>
        <w:t>CARCEDO DE BUREBA</w:t>
      </w:r>
    </w:p>
    <w:p w14:paraId="7327E52B" w14:textId="77777777" w:rsidR="00106985" w:rsidRPr="00106985" w:rsidRDefault="00106985" w:rsidP="0010698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C8F8E11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" w:name="TI"/>
      <w:bookmarkEnd w:id="1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TÍTULO I. DISPOSICIONES GENERALES</w:t>
      </w:r>
    </w:p>
    <w:p w14:paraId="0A4A0E4D" w14:textId="77777777" w:rsidR="00106985" w:rsidRPr="00106985" w:rsidRDefault="00106985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6135792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0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2" w:name="a1"/>
      <w:bookmarkEnd w:id="2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1. Objeto</w:t>
      </w:r>
    </w:p>
    <w:p w14:paraId="3F134D56" w14:textId="28BAA0E3" w:rsidR="00106985" w:rsidRDefault="00106985" w:rsidP="003E1DA5">
      <w:pPr>
        <w:spacing w:before="100" w:beforeAutospacing="1" w:after="0" w:line="240" w:lineRule="auto"/>
        <w:ind w:left="-23" w:right="57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objeto de la presente Ordenanza es la regulación del uso de locales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edificios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municipales por particulares y asociaciones</w:t>
      </w:r>
      <w:r w:rsidR="004761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en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Entidad Local Menor de de Carcedo de Bureba.</w:t>
      </w:r>
    </w:p>
    <w:p w14:paraId="628AB927" w14:textId="77777777" w:rsidR="003E1DA5" w:rsidRPr="00106985" w:rsidRDefault="003E1DA5" w:rsidP="003E1DA5">
      <w:pPr>
        <w:spacing w:before="100" w:beforeAutospacing="1" w:after="0" w:line="240" w:lineRule="auto"/>
        <w:ind w:left="-23" w:right="57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EEDEFFF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3" w:name="a2"/>
      <w:bookmarkEnd w:id="3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2. Ámbito de Aplicación</w:t>
      </w:r>
    </w:p>
    <w:p w14:paraId="091CF9E2" w14:textId="3FE606E7" w:rsidR="00106985" w:rsidRPr="00106985" w:rsidRDefault="00106985" w:rsidP="003E1DA5">
      <w:pPr>
        <w:spacing w:before="100" w:beforeAutospacing="1" w:after="0" w:line="240" w:lineRule="auto"/>
        <w:ind w:left="-23" w:right="57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Las normas de la presente Ordenanza serán de aplicación </w:t>
      </w:r>
      <w:r w:rsidR="004761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todos los locales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edificios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 la localidad de Carcedo de Bureba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susceptibles de utilización por particulares y asociaciones, siempre que no cuenten con una Ordenanza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o regulación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específica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</w:p>
    <w:p w14:paraId="37AB0A79" w14:textId="77777777" w:rsidR="00106985" w:rsidRPr="00106985" w:rsidRDefault="00106985" w:rsidP="003E1DA5">
      <w:pPr>
        <w:spacing w:before="100" w:beforeAutospacing="1" w:after="0" w:line="240" w:lineRule="auto"/>
        <w:ind w:left="-23" w:right="57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Quedan dentro del ámbito de aplicación los siguientes:</w:t>
      </w:r>
    </w:p>
    <w:p w14:paraId="37BDA6B7" w14:textId="77777777" w:rsidR="00106985" w:rsidRPr="003E1DA5" w:rsidRDefault="00106985" w:rsidP="003E1DA5">
      <w:pPr>
        <w:pStyle w:val="Prrafodelista"/>
        <w:numPr>
          <w:ilvl w:val="0"/>
          <w:numId w:val="13"/>
        </w:numPr>
        <w:spacing w:before="100" w:beforeAutospacing="1" w:after="0" w:line="240" w:lineRule="auto"/>
        <w:ind w:right="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Local de Centro Social</w:t>
      </w:r>
      <w:r w:rsidR="009D50F9"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municipal.</w:t>
      </w:r>
      <w:r w:rsidR="00A62E9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(“Peña Recreativa El Pilar”)</w:t>
      </w:r>
    </w:p>
    <w:p w14:paraId="01B17D65" w14:textId="77777777" w:rsidR="00106985" w:rsidRPr="003E1DA5" w:rsidRDefault="00106985" w:rsidP="003E1DA5">
      <w:pPr>
        <w:pStyle w:val="Prrafodelista"/>
        <w:numPr>
          <w:ilvl w:val="0"/>
          <w:numId w:val="13"/>
        </w:numPr>
        <w:spacing w:before="100" w:beforeAutospacing="1" w:after="0" w:line="240" w:lineRule="auto"/>
        <w:ind w:right="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Edificio del Horno municipal.</w:t>
      </w:r>
    </w:p>
    <w:p w14:paraId="1124470A" w14:textId="77777777" w:rsidR="00106985" w:rsidRPr="003E1DA5" w:rsidRDefault="00106985" w:rsidP="003E1DA5">
      <w:pPr>
        <w:pStyle w:val="Prrafodelista"/>
        <w:numPr>
          <w:ilvl w:val="0"/>
          <w:numId w:val="13"/>
        </w:numPr>
        <w:spacing w:before="100" w:beforeAutospacing="1" w:after="0" w:line="240" w:lineRule="auto"/>
        <w:ind w:right="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Cualesquiera otros que en el futuro se habiliten.</w:t>
      </w:r>
    </w:p>
    <w:p w14:paraId="37C5F8B8" w14:textId="2CB723FA" w:rsidR="00106985" w:rsidRPr="00106985" w:rsidRDefault="00106985" w:rsidP="003E1DA5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Del mismo modo, queda fuera del ámbito objetivo de la presente Ordenanza la utilización de locales, edificios o instalaciones cuando esta estuviere regulada por ley.</w:t>
      </w:r>
    </w:p>
    <w:p w14:paraId="40E36A29" w14:textId="77777777" w:rsidR="00106985" w:rsidRPr="00106985" w:rsidRDefault="00106985" w:rsidP="00106985">
      <w:pPr>
        <w:spacing w:before="100" w:beforeAutospacing="1"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F6C6D06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4" w:name="a3"/>
      <w:bookmarkEnd w:id="4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3. Uso de los Edificios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y</w:t>
      </w:r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Locales Municipales</w:t>
      </w:r>
    </w:p>
    <w:p w14:paraId="2D9F7FFC" w14:textId="77777777" w:rsidR="00106985" w:rsidRPr="00106985" w:rsidRDefault="00106985" w:rsidP="00106985">
      <w:pPr>
        <w:spacing w:before="100" w:beforeAutospacing="1" w:after="0" w:line="240" w:lineRule="auto"/>
        <w:ind w:left="-23" w:right="57" w:firstLine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AFDA350" w14:textId="4C3EB1AC" w:rsidR="00106985" w:rsidRDefault="00106985" w:rsidP="003E1DA5">
      <w:pPr>
        <w:spacing w:before="100" w:beforeAutospacing="1" w:after="0" w:line="240" w:lineRule="auto"/>
        <w:ind w:left="-23" w:right="57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edificios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locales </w:t>
      </w:r>
      <w:r w:rsidR="00A62E91"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municipales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podrán ser utilizados por particulares y/o asociaciones para llevar a cabo en ellos, exposiciones, reuniones,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celebraciones privada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siempre y cuando de ellos se haga un uso responsable.</w:t>
      </w:r>
    </w:p>
    <w:p w14:paraId="4F6F19D1" w14:textId="77777777" w:rsidR="00443BED" w:rsidRDefault="00443BED" w:rsidP="00106985">
      <w:pPr>
        <w:spacing w:before="100" w:beforeAutospacing="1" w:after="0" w:line="240" w:lineRule="auto"/>
        <w:ind w:left="-23" w:right="57" w:firstLine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43E3406" w14:textId="77777777" w:rsidR="003D7459" w:rsidRDefault="003D7459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15EC6DD" w14:textId="77777777" w:rsidR="003E1DA5" w:rsidRDefault="003E1DA5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BFFC959" w14:textId="77777777" w:rsidR="003E1DA5" w:rsidRPr="00106985" w:rsidRDefault="003E1DA5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EDC5CF6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5" w:name="TII"/>
      <w:bookmarkEnd w:id="5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lastRenderedPageBreak/>
        <w:t>TÍTULO II. NORMAS REGULADORAS DE LA UTILIZACIÓN DE LOS EDIFICIOS Y LOCALES MUNICIPALES</w:t>
      </w:r>
    </w:p>
    <w:p w14:paraId="06E70623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6" w:name="a4"/>
      <w:bookmarkEnd w:id="6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4. Solicitudes</w:t>
      </w:r>
    </w:p>
    <w:p w14:paraId="67E32C1A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11FD4EA" w14:textId="391ED145" w:rsid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interesados en la utilización de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edificios y locales de la localidad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deberán obtener autorización de la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Junta Vecinal de Carcedo de Bureba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con carácter previo. </w:t>
      </w:r>
    </w:p>
    <w:p w14:paraId="0D37C4F7" w14:textId="137317C9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Junta Vecinal de Carcedo de Bureba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tendrá prioridad en la utilización de los edificios y locales municipales</w:t>
      </w:r>
      <w:r w:rsidR="004E7C0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2F8BF4CC" w14:textId="77777777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Cuando sean varios los solicitantes, la </w:t>
      </w:r>
      <w:r w:rsidR="00940D6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Junta Vecinal de Carcedo de Bureba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se dirigirá, en el desarrollo de las relaciones que puedan derivarse de la utilización, a la persona que se designe expresamente a tal efecto, o en su defecto, al primero de los solicitantes.</w:t>
      </w:r>
    </w:p>
    <w:p w14:paraId="273B1160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0164C7F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7" w:name="a5"/>
      <w:bookmarkEnd w:id="7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5. Deberes de los Usuarios</w:t>
      </w:r>
    </w:p>
    <w:p w14:paraId="12815598" w14:textId="77777777" w:rsidR="00106985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usuarios deberán:</w:t>
      </w:r>
    </w:p>
    <w:p w14:paraId="06BD5734" w14:textId="77777777" w:rsidR="00106985" w:rsidRPr="003E1DA5" w:rsidRDefault="00106985" w:rsidP="003E1DA5">
      <w:pPr>
        <w:pStyle w:val="Prrafodelist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Cuidar de los mismos, del mobiliario existente y comportarse con el debido civismo.</w:t>
      </w:r>
    </w:p>
    <w:p w14:paraId="28C71519" w14:textId="3ACAB777" w:rsidR="00106985" w:rsidRPr="003E1DA5" w:rsidRDefault="00106985" w:rsidP="003E1DA5">
      <w:pPr>
        <w:pStyle w:val="Prrafodelist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Cualquier usuario que advirtiese alguna deficiencia o deterioro, deberá ponerlo en conocimiento de la </w:t>
      </w:r>
      <w:r w:rsidR="00352727"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Junta Vecinal de Carcedo de Bureba</w:t>
      </w:r>
      <w:r w:rsidR="004761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78812430" w14:textId="55217C55" w:rsidR="00106985" w:rsidRPr="003E1DA5" w:rsidRDefault="00106985" w:rsidP="003E1DA5">
      <w:pPr>
        <w:pStyle w:val="Prrafodelist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Los daños causados en los locales y enseres en ellos </w:t>
      </w:r>
      <w:r w:rsidR="004E7C0E"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existentes</w:t>
      </w: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serán responsabilidad del titular de la autorización y </w:t>
      </w:r>
      <w:r w:rsidR="004E7C0E"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Junta Vecinal </w:t>
      </w:r>
      <w:r w:rsidR="004761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podrá </w:t>
      </w: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exigir su reparación.</w:t>
      </w:r>
    </w:p>
    <w:p w14:paraId="0D5649EA" w14:textId="77777777" w:rsidR="00106985" w:rsidRPr="003E1DA5" w:rsidRDefault="00106985" w:rsidP="003E1DA5">
      <w:pPr>
        <w:pStyle w:val="Prrafodelist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Respetar y cumplir el contenido concreto y condiciones que se fijen en la autorización correspondiente.</w:t>
      </w:r>
    </w:p>
    <w:p w14:paraId="425E4EE1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704E268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8" w:name="a6"/>
      <w:bookmarkEnd w:id="8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6. Prohibiciones</w:t>
      </w:r>
    </w:p>
    <w:p w14:paraId="516E935C" w14:textId="77777777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Estarán </w:t>
      </w:r>
      <w:r w:rsidRPr="003E1DA5"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prohibidas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las siguientes actuaciones:</w:t>
      </w:r>
    </w:p>
    <w:p w14:paraId="1A1819A0" w14:textId="77777777" w:rsidR="00106985" w:rsidRPr="003E1DA5" w:rsidRDefault="00106985" w:rsidP="003E1DA5">
      <w:pPr>
        <w:pStyle w:val="Prrafodelist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uso de los locales para otra finalidad distinta a la autorizada.</w:t>
      </w:r>
    </w:p>
    <w:p w14:paraId="299BC380" w14:textId="77777777" w:rsidR="00106985" w:rsidRPr="003E1DA5" w:rsidRDefault="00106985" w:rsidP="003E1DA5">
      <w:pPr>
        <w:pStyle w:val="Prrafodelist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uso de los locales para aquellas actividades que vulneren la legalidad.</w:t>
      </w:r>
    </w:p>
    <w:p w14:paraId="57A7DE10" w14:textId="73BE01C2" w:rsidR="00106985" w:rsidRPr="003E1DA5" w:rsidRDefault="00106985" w:rsidP="003E1DA5">
      <w:pPr>
        <w:pStyle w:val="Prrafodelist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Negar la entrada a cualquier vecino de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 localidad</w:t>
      </w: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que se interese por una actividad realizada en un local</w:t>
      </w:r>
      <w:r w:rsidR="00352727"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 </w:t>
      </w: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edificio municipal que tenga carácter público.</w:t>
      </w:r>
    </w:p>
    <w:p w14:paraId="5DFF0079" w14:textId="490F0ACC" w:rsidR="00940D6B" w:rsidRPr="003E1DA5" w:rsidRDefault="00940D6B" w:rsidP="003E1DA5">
      <w:pPr>
        <w:pStyle w:val="Prrafodelist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Realizar obras o mejoras en las instalaciones de propiedad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 la Junta Vecinal</w:t>
      </w: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sin obtener los permisos oportunos por parte de la Junta Vecinal de Carcedo</w:t>
      </w:r>
      <w:r w:rsidR="004761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1AC21B0B" w14:textId="77777777" w:rsidR="009D50F9" w:rsidRPr="003E1DA5" w:rsidRDefault="009D50F9" w:rsidP="003E1DA5">
      <w:pPr>
        <w:pStyle w:val="Prrafodelist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acceso al local habilitado como Centro Social de un único vecino</w:t>
      </w:r>
      <w:r w:rsidR="00A62E9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del municipio</w:t>
      </w:r>
      <w:r w:rsidR="007D643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23943CDB" w14:textId="04B8020C" w:rsidR="00106985" w:rsidRDefault="00106985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2332B00" w14:textId="77777777" w:rsidR="004761CF" w:rsidRPr="00106985" w:rsidRDefault="004761CF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08EF5875" w14:textId="3B872F03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9" w:name="a7"/>
      <w:bookmarkEnd w:id="9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lastRenderedPageBreak/>
        <w:t xml:space="preserve">ARTÍCULO 7. Condiciones de Uso de los Locales </w:t>
      </w:r>
      <w:r w:rsidR="003527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y</w:t>
      </w:r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680E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Edificios de la Junta Vecinal de Carcedo</w:t>
      </w:r>
    </w:p>
    <w:p w14:paraId="61212B23" w14:textId="407AED59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solicitantes que obtengan la autorización deberán hacer uso de los edificios y locales atendiendo a su naturaleza y destino, y de forma que no se ocasione a los mismos daño o menoscabo alguno, sin perjuicio del desgaste que pueda producirse por el uso normal, adecuado y razonable atendiendo el fin para el cual fue solicitada la utilización.</w:t>
      </w:r>
    </w:p>
    <w:p w14:paraId="5080C51D" w14:textId="77777777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 ningún caso podrán destinarse los edificios y locales de</w:t>
      </w:r>
      <w:r w:rsidR="003527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 Junta Vecinal de Carcedo de Bureba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 fines distintos a aquellos para los que se permitió la utilización.</w:t>
      </w:r>
    </w:p>
    <w:p w14:paraId="7716DCD9" w14:textId="4DCE8953" w:rsidR="005409DF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usuarios de edificios, locales e instalaciones velarán por su limpieza y orden. Después de cada período diario de uso procederán a su limpieza y ordenación del mobiliario y elementos interiores, de forma que puedan ser inmediatamente utilizados al día siguiente.</w:t>
      </w:r>
    </w:p>
    <w:p w14:paraId="43235F94" w14:textId="77777777" w:rsidR="005409DF" w:rsidRPr="00106985" w:rsidRDefault="005409DF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F167639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0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0" w:name="a8"/>
      <w:bookmarkEnd w:id="10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8. Autorización de Uso</w:t>
      </w:r>
    </w:p>
    <w:p w14:paraId="5BC25128" w14:textId="77777777" w:rsidR="00106985" w:rsidRP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8B04D50" w14:textId="532FF8F3" w:rsidR="00106985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autorización de uso, que se plasmará en una resolución de la Alcaldía, de acuerdo con lo establecido en el artículo 21.1.q) de la Ley 7/1985, de 2 de abril, Reguladora de las Bases de Régimen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Local, que podrá delegar en el vocal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competente.</w:t>
      </w:r>
    </w:p>
    <w:p w14:paraId="2E92D17A" w14:textId="556D97C3" w:rsidR="00352727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Se facilitará a la persona responsable designada por los interesados, las llaves correspondientes para la apertura y cierre de los locales, en su caso, quienes serán responsables de su custodia y su devolución </w:t>
      </w:r>
      <w:r w:rsidR="00443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 los responsables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 la Junta Vecinal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en el plazo más breve tras la finalización de la actividad. El solicitante de la utilización responderá de la devolución de dicha llave y se abstendrá de realizar reproducciones de la misma</w:t>
      </w:r>
      <w:r w:rsidR="003527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caso de obtención de </w:t>
      </w:r>
      <w:r w:rsidR="003527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copias, todas serán devueltas a la Junta Vecinal de Carcedo de Bureba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al término del período de uso de los edificios y locales.</w:t>
      </w:r>
    </w:p>
    <w:p w14:paraId="517AFFE0" w14:textId="77777777" w:rsidR="00106985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Una vez finalizada su utilización, se realizará una nueva comprobación a los efectos del cumplimiento de las obligaciones de los usuarios establecidas en esta Ordenanza y demás legislación vigente.</w:t>
      </w:r>
    </w:p>
    <w:p w14:paraId="76B703F2" w14:textId="77777777" w:rsid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61F575E" w14:textId="77777777" w:rsidR="003E1DA5" w:rsidRDefault="003E1DA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B67A61C" w14:textId="77777777" w:rsidR="003E1DA5" w:rsidRDefault="003E1DA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25C6EC4" w14:textId="77777777" w:rsidR="003E1DA5" w:rsidRDefault="003E1DA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F1232F1" w14:textId="77777777" w:rsidR="003E1DA5" w:rsidRDefault="003E1DA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83903F2" w14:textId="77777777" w:rsidR="003E1DA5" w:rsidRPr="00106985" w:rsidRDefault="003E1DA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E591DD3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1" w:name="a9"/>
      <w:bookmarkEnd w:id="11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9. Determinaciones de la Autorización</w:t>
      </w:r>
    </w:p>
    <w:p w14:paraId="1BDA095D" w14:textId="77777777" w:rsidR="00106985" w:rsidRPr="00106985" w:rsidRDefault="00106985" w:rsidP="0012461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autorización de uso se dictará atendiendo, entre otros, a los siguientes criterios:</w:t>
      </w:r>
    </w:p>
    <w:p w14:paraId="16A5E2DE" w14:textId="77777777" w:rsidR="00106985" w:rsidRPr="003E1DA5" w:rsidRDefault="00106985" w:rsidP="003E1DA5">
      <w:pPr>
        <w:pStyle w:val="Prrafodelist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Clase de actividad: cultura, deportes, solidaridad, conferencias, ocio…</w:t>
      </w:r>
    </w:p>
    <w:p w14:paraId="74FD2D52" w14:textId="77777777" w:rsidR="00A62E91" w:rsidRDefault="00106985" w:rsidP="009F18FA">
      <w:pPr>
        <w:pStyle w:val="Prrafodelist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62E9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Disponibilidad de locales o instalaciones</w:t>
      </w:r>
      <w:r w:rsidR="00A62E9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2FC0985A" w14:textId="77777777" w:rsidR="00106985" w:rsidRPr="00A62E91" w:rsidRDefault="00106985" w:rsidP="009F18FA">
      <w:pPr>
        <w:pStyle w:val="Prrafodelist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62E9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Número de destinatarios de la actividad.</w:t>
      </w:r>
    </w:p>
    <w:p w14:paraId="0AA18E63" w14:textId="77777777" w:rsidR="00106985" w:rsidRPr="003E1DA5" w:rsidRDefault="00106985" w:rsidP="003E1DA5">
      <w:pPr>
        <w:pStyle w:val="Prrafodelist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E1D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Repercusión social de la actividad a realizar en función del número de personas afectadas.</w:t>
      </w:r>
    </w:p>
    <w:p w14:paraId="72E02FB2" w14:textId="16F7994A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Cualquier uso de los edificios</w:t>
      </w:r>
      <w:r w:rsidR="003527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locales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estará supeditado al funcionamiento habitual de los servicios públicos y de las actividades propias a de</w:t>
      </w:r>
      <w:r w:rsidR="003527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sarrollar en el edificio o local.</w:t>
      </w:r>
    </w:p>
    <w:p w14:paraId="1D92C7A9" w14:textId="5CE9A1DA" w:rsidR="00106985" w:rsidRPr="00106985" w:rsidRDefault="00106985" w:rsidP="003E1DA5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resolución podrá exigir la constitución de fianza en cualquiera de las formas legalmente admitidas. En tal caso, la fianza responderá del cumplimiento de las obligaciones de buen uso y restitución de los edificios</w:t>
      </w:r>
      <w:r w:rsidR="003527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locales a la situación anterior al momento de la cesión. Asimismo, garantizará la indemnización de daños y perjuicios cuando deban responder los usuarios de los que efectivamente se produzcan en los edificios, locales e instalaciones cedidos. También responderá del pago de las sanciones que puedan imponerse en virtud de la aplicación de la presente Ordenanza.</w:t>
      </w:r>
    </w:p>
    <w:p w14:paraId="23026BF3" w14:textId="77777777" w:rsidR="00106985" w:rsidRPr="00106985" w:rsidRDefault="00106985" w:rsidP="00124612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resolución podrá imponer condiciones particulares en relación al aforo máximo permitido, restricciones al acceso de menores o limitaciones derivadas de la normativa vigente en materia de espectáculos públicos y actividades recreativas.</w:t>
      </w:r>
    </w:p>
    <w:p w14:paraId="2EF3FCAE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13169EA" w14:textId="77777777" w:rsidR="00106985" w:rsidRPr="003E1DA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2" w:name="a10"/>
      <w:bookmarkEnd w:id="12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ARTÍCULO 10. </w:t>
      </w:r>
      <w:r w:rsidR="00443B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Pago por uso</w:t>
      </w:r>
    </w:p>
    <w:p w14:paraId="3FB91385" w14:textId="57D87EF7" w:rsidR="00106985" w:rsidRPr="00106985" w:rsidRDefault="00106985" w:rsidP="00124612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En la resolución que autorice el uso de </w:t>
      </w:r>
      <w:r w:rsidR="003E1DA5" w:rsidRPr="0010698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estos</w:t>
      </w:r>
      <w:r w:rsidR="003E1DA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,</w:t>
      </w:r>
      <w:r w:rsidRPr="0010698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se podrá exigir </w:t>
      </w:r>
      <w:r w:rsidR="00443BED" w:rsidRPr="00443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el pago de una cantidad acordada por el pleno de la Junta Vecinal de Carcedo de Bureba en cualquiera de las formas legalmente admitidas.</w:t>
      </w:r>
      <w:r w:rsidRPr="0010698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</w:t>
      </w:r>
      <w:r w:rsidR="00443BED" w:rsidRPr="00443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Dicho pago</w:t>
      </w:r>
      <w:r w:rsidRPr="0010698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responderá </w:t>
      </w:r>
      <w:r w:rsidR="00443BED" w:rsidRPr="00443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al mantenimiento y a la mejora</w:t>
      </w:r>
      <w:r w:rsidRPr="0010698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de los edificios</w:t>
      </w:r>
      <w:r w:rsidR="00443BED" w:rsidRPr="00443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y</w:t>
      </w:r>
      <w:r w:rsidR="00680EDE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locales de la entidad local</w:t>
      </w:r>
      <w:r w:rsidR="00443BED" w:rsidRPr="00443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.</w:t>
      </w:r>
    </w:p>
    <w:p w14:paraId="3A2EA32B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A3677E6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3" w:name="a11"/>
      <w:bookmarkEnd w:id="13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11. Comprobación Municipal del Uso Adecuado</w:t>
      </w:r>
    </w:p>
    <w:p w14:paraId="06A26CC7" w14:textId="2AF07C1F" w:rsidR="00106985" w:rsidRPr="00106985" w:rsidRDefault="00106985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Con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cluido el uso de edificio local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los usuarios comunicarán a</w:t>
      </w:r>
      <w:r w:rsidR="00443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</w:t>
      </w:r>
      <w:r w:rsidR="00443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443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Junta Vecinal de Carcedo de Bureba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esta circunstancia. </w:t>
      </w:r>
      <w:r w:rsidR="00443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443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Junta Vecinal de Carcedo de Bureba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podrá practicar cuantas comprobaciones considere oportunas a los efectos del cumplimiento de las obligaciones de los usuarios establecidas en esta Ordenanza y demás legislación vigente.</w:t>
      </w:r>
    </w:p>
    <w:p w14:paraId="2033C6F1" w14:textId="77777777" w:rsidR="00106985" w:rsidRDefault="00106985" w:rsidP="00443BE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D63CB50" w14:textId="77777777" w:rsidR="003E1DA5" w:rsidRDefault="003E1DA5" w:rsidP="00443BE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87BAC01" w14:textId="77777777" w:rsidR="003E1DA5" w:rsidRDefault="003E1DA5" w:rsidP="00443BE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B828A97" w14:textId="77777777" w:rsidR="003E1DA5" w:rsidRPr="00106985" w:rsidRDefault="003E1DA5" w:rsidP="00443BE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A0B8FCF" w14:textId="77777777" w:rsidR="00106985" w:rsidRPr="00106985" w:rsidRDefault="00106985" w:rsidP="003E1DA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4" w:name="a12"/>
      <w:bookmarkEnd w:id="14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ARTÍCULO 12. Gastos Ajenos al Uso Público de los Locales </w:t>
      </w:r>
    </w:p>
    <w:p w14:paraId="4898C094" w14:textId="48F059A4" w:rsidR="00106985" w:rsidRPr="00106985" w:rsidRDefault="00106985" w:rsidP="00CE03CF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Cualquier gasto añadido a la cesión del local</w:t>
      </w:r>
      <w:r w:rsidR="00CE03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edificio, y que se relacione con el tipo de actividad correrán a cargo del solicitante, en concreto:</w:t>
      </w:r>
    </w:p>
    <w:p w14:paraId="2720D970" w14:textId="77777777" w:rsidR="00106985" w:rsidRPr="00124612" w:rsidRDefault="00CE03CF" w:rsidP="00124612">
      <w:pPr>
        <w:pStyle w:val="Prrafodelista"/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Cualquier</w:t>
      </w:r>
      <w:r w:rsidR="00106985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gasto añadido, cuando se trate de celebraciones privadas.</w:t>
      </w:r>
    </w:p>
    <w:p w14:paraId="32427834" w14:textId="77777777" w:rsidR="00106985" w:rsidRPr="00124612" w:rsidRDefault="00106985" w:rsidP="00124612">
      <w:pPr>
        <w:pStyle w:val="Prrafodelista"/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Gastos por la limpieza de los locales o edificios</w:t>
      </w:r>
      <w:r w:rsidR="00CE03CF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municipales.</w:t>
      </w:r>
    </w:p>
    <w:p w14:paraId="3B0A268D" w14:textId="77777777" w:rsidR="005409DF" w:rsidRDefault="009D50F9" w:rsidP="003E1DA5">
      <w:pPr>
        <w:pStyle w:val="Prrafodelista"/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Aquellos que se estimen entre las partes ante un posible uso recurrente</w:t>
      </w:r>
      <w:r w:rsidR="009B402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0F75C9E4" w14:textId="77777777" w:rsidR="003E1DA5" w:rsidRPr="003E1DA5" w:rsidRDefault="003E1DA5" w:rsidP="003E1DA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4CEDB10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5" w:name="TIII"/>
      <w:bookmarkEnd w:id="15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TÍTULO III. RESPONSABILIDADES, INFRACCIONES Y SANCIONES</w:t>
      </w:r>
    </w:p>
    <w:p w14:paraId="7EB6C73B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6" w:name="a13"/>
      <w:bookmarkEnd w:id="16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13. Responsabilidades</w:t>
      </w:r>
    </w:p>
    <w:p w14:paraId="45061B25" w14:textId="77777777" w:rsidR="00106985" w:rsidRP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64C25E6" w14:textId="36B60057" w:rsidR="00106985" w:rsidRPr="00106985" w:rsidRDefault="00106985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usuarios de los edificios</w:t>
      </w:r>
      <w:r w:rsidR="00CE03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locales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objeto de utilización, responderán de los daños y perjuicios que por su dolo o negligencia se ocasiones en los mismos. Si fueren varios los ocupantes, todos ellos responderán conjunta y solidariamente del pago de los precios públicos, de la indemnización de los daños y perjuicios que ocasiones en los locales y bienes que en ellos pudieran encontrarse y de las sanciones que, en su caso, se pudieran imponer.</w:t>
      </w:r>
    </w:p>
    <w:p w14:paraId="025698AA" w14:textId="77777777" w:rsidR="00106985" w:rsidRP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F2B5666" w14:textId="77777777" w:rsidR="00106985" w:rsidRPr="00106985" w:rsidRDefault="00106985" w:rsidP="003E1DA5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7" w:name="a14"/>
      <w:bookmarkEnd w:id="17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14. Infracciones</w:t>
      </w:r>
    </w:p>
    <w:p w14:paraId="4C9E5A14" w14:textId="77777777" w:rsidR="00106985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 consideran infracciones las siguientes:</w:t>
      </w:r>
    </w:p>
    <w:p w14:paraId="71F285A2" w14:textId="465AEA1D" w:rsidR="00106985" w:rsidRPr="00124612" w:rsidRDefault="00106985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Ocupar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edificios y locales 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sin permiso de</w:t>
      </w:r>
      <w:r w:rsidR="00CE03CF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</w:t>
      </w:r>
      <w:r w:rsidR="00CE03CF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 Junta Vecinal de Carcedo de Bureba.</w:t>
      </w:r>
    </w:p>
    <w:p w14:paraId="7FFD85EB" w14:textId="77777777" w:rsidR="00124612" w:rsidRPr="00124612" w:rsidRDefault="00106985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Realizar actividades no autorizadas por el permiso de uso o ajenas a las actividades del particular.</w:t>
      </w:r>
    </w:p>
    <w:p w14:paraId="3C078221" w14:textId="77777777" w:rsidR="00106985" w:rsidRPr="00124612" w:rsidRDefault="00106985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 re</w:t>
      </w:r>
      <w:r w:rsidR="00CE03CF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alizar las labores de limpieza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del local o dependencia ocupados con autorización en la forma establecida en la presente Ordenanza.</w:t>
      </w:r>
    </w:p>
    <w:p w14:paraId="07180C46" w14:textId="77777777" w:rsidR="00106985" w:rsidRPr="00124612" w:rsidRDefault="00106985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Causar daños en los locales, instalaciones, equipos y demás bienes muebles que se encuentren en los locales utilizados.</w:t>
      </w:r>
    </w:p>
    <w:p w14:paraId="409B9C91" w14:textId="68FEBC92" w:rsidR="00106985" w:rsidRPr="00124612" w:rsidRDefault="00106985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Realizar reproducciones de llaves de acceso a los edificios o locales utilizados sin autorización de la Alcaldía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Pedánea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2CD236ED" w14:textId="77777777" w:rsidR="00106985" w:rsidRPr="00124612" w:rsidRDefault="00106985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 restituir las llaves de acceso a edificios y locales objeto de utilización de forma inmediata a su desalojo definitivo.</w:t>
      </w:r>
    </w:p>
    <w:p w14:paraId="1791EA2E" w14:textId="77777777" w:rsidR="009D50F9" w:rsidRPr="00124612" w:rsidRDefault="009D50F9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El acceso al local destinado a Centro Social por parte de un único vecino. Siempre se deberá acceder a dicho local </w:t>
      </w:r>
      <w:r w:rsidR="00124612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conjuntamente, con un mínimo de </w:t>
      </w:r>
      <w:r w:rsidR="007B41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dos </w:t>
      </w:r>
      <w:r w:rsidR="00124612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vecinos del pueblo.</w:t>
      </w:r>
    </w:p>
    <w:p w14:paraId="53D1B682" w14:textId="02E54E66" w:rsidR="00CE03CF" w:rsidRPr="00124612" w:rsidRDefault="00CE03CF" w:rsidP="00124612">
      <w:pPr>
        <w:pStyle w:val="Prrafode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Realizar obras o mejoras sin permiso </w:t>
      </w:r>
      <w:r w:rsidR="00940D6B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previo 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 la Junta Vecinal de Carcedo de Bureba</w:t>
      </w:r>
      <w:r w:rsidR="00940D6B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2F53843A" w14:textId="77777777" w:rsidR="00106985" w:rsidRDefault="00106985" w:rsidP="003E1DA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204673C" w14:textId="77777777" w:rsidR="003E1DA5" w:rsidRPr="00106985" w:rsidRDefault="003E1DA5" w:rsidP="003E1DA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DF92B2E" w14:textId="77777777" w:rsidR="00106985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Asimismo, y de acuerdo con lo establecido en el artículo 140 de la Ley 7/1985, de 2 de abril, Reguladora de las Bases de Régimen Local, las infracciones se clasificarán en muy graves, graves y leves.</w:t>
      </w:r>
    </w:p>
    <w:p w14:paraId="0AFA815F" w14:textId="77777777" w:rsidR="00106985" w:rsidRPr="00106985" w:rsidRDefault="00106985" w:rsidP="003E1DA5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Serán </w:t>
      </w:r>
      <w:r w:rsidRPr="003E1DA5"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muy graves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las infracciones que supongan:</w:t>
      </w:r>
    </w:p>
    <w:p w14:paraId="4741BE27" w14:textId="77777777" w:rsidR="00106985" w:rsidRPr="00124612" w:rsidRDefault="00106985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Una perturbación relevante de la convivencia que afecte de manera grave, inmediata y directa a la tranquilidad o al ejercicio de derechos legítimos de otras personas, al normal desarrollo de actividades de toda clase conforme a la normativa aplicable o a la salubridad u ornato público, siempre que se trate de conductas no subsumibles en los tipos previstos en el capítulo IV de la Ley 1/1992, de 21 de febrero, de Protección de la Seguridad Ciudadana.</w:t>
      </w:r>
    </w:p>
    <w:p w14:paraId="4028B130" w14:textId="77777777" w:rsidR="00106985" w:rsidRPr="00124612" w:rsidRDefault="00106985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impedimento del uso de un servicio público por otra y otras personas con derecho a su utilización.</w:t>
      </w:r>
    </w:p>
    <w:p w14:paraId="7422622A" w14:textId="77777777" w:rsidR="00106985" w:rsidRPr="00124612" w:rsidRDefault="00106985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impedimento o la grave y relevante obstrucción al normal funcionamiento de un servicio público.</w:t>
      </w:r>
    </w:p>
    <w:p w14:paraId="661CDC64" w14:textId="77777777" w:rsidR="00106985" w:rsidRPr="00124612" w:rsidRDefault="00106985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actos de deterioro grave y relevante de equipamientos, infraestructuras, instalaciones o elementos de un servicio público.</w:t>
      </w:r>
    </w:p>
    <w:p w14:paraId="7C3FE155" w14:textId="77777777" w:rsidR="00106985" w:rsidRPr="00124612" w:rsidRDefault="00106985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impedimento del uso de un espacio público por otra u otras personas con derecho a su utilización.</w:t>
      </w:r>
    </w:p>
    <w:p w14:paraId="39B4877E" w14:textId="77777777" w:rsidR="00106985" w:rsidRPr="00124612" w:rsidRDefault="00106985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actos de deterioro grave y relevante de espacios públicos o de cualquiera de sus instalaciones y elementos, sean muebles o inmuebles, no derivados de alteraciones de la seguridad ciudadana.</w:t>
      </w:r>
    </w:p>
    <w:p w14:paraId="5DBED24D" w14:textId="77777777" w:rsidR="00124612" w:rsidRPr="00124612" w:rsidRDefault="00124612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Acceder al local destinado a Centro Social sin el acompañamiento de dos o más vecinos del pueblo. Un único vecino no puede acceder solo.</w:t>
      </w:r>
    </w:p>
    <w:p w14:paraId="7C96B287" w14:textId="72D95783" w:rsidR="00940D6B" w:rsidRDefault="00940D6B" w:rsidP="00124612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Realizar obras o mejoras sin permiso previo de la Junta Vecinal de Carcedo de Bureba</w:t>
      </w:r>
      <w:r w:rsidR="004761C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3C4BEE16" w14:textId="77777777" w:rsidR="00106985" w:rsidRPr="00106985" w:rsidRDefault="00106985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7F9A45F" w14:textId="77777777" w:rsidR="00106985" w:rsidRPr="00106985" w:rsidRDefault="00106985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Las demás infracciones se clasificarán en </w:t>
      </w:r>
      <w:r w:rsidRPr="003E1DA5"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graves y leves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de acuerdo con los siguientes criterios:</w:t>
      </w:r>
    </w:p>
    <w:p w14:paraId="4F23BD4F" w14:textId="77777777" w:rsidR="00106985" w:rsidRPr="00106985" w:rsidRDefault="00106985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9224FA6" w14:textId="77777777" w:rsidR="00106985" w:rsidRPr="00124612" w:rsidRDefault="00106985" w:rsidP="0012461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intensidad de la perturbación ocasionada en la tranquilidad o en el pacífico ejercicio de los derechos a otras personas o actividades.</w:t>
      </w:r>
    </w:p>
    <w:p w14:paraId="245665E1" w14:textId="77777777" w:rsidR="00106985" w:rsidRPr="00124612" w:rsidRDefault="00106985" w:rsidP="0012461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intensidad de la perturbación causada a la salubridad u ornato público.</w:t>
      </w:r>
    </w:p>
    <w:p w14:paraId="218F22A9" w14:textId="77777777" w:rsidR="00106985" w:rsidRPr="00124612" w:rsidRDefault="00106985" w:rsidP="0012461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intensidad de la perturbación ocasionada en el uso de un servicio o de un espacio público por parte de las personas con derecho a utilizarlos.</w:t>
      </w:r>
    </w:p>
    <w:p w14:paraId="0B317089" w14:textId="77777777" w:rsidR="00106985" w:rsidRPr="00124612" w:rsidRDefault="00106985" w:rsidP="0012461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intensidad de la perturbación ocasionada en el normal funcionamiento de un servicio público.</w:t>
      </w:r>
    </w:p>
    <w:p w14:paraId="02B6E1A9" w14:textId="77777777" w:rsidR="00106985" w:rsidRDefault="00106985" w:rsidP="0012461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intensidad de los daños ocasionados a los equipamientos, infraestructuras, instalaciones o elementos de un servicio o de un espacio público.</w:t>
      </w:r>
    </w:p>
    <w:p w14:paraId="3CFBB21D" w14:textId="77777777" w:rsidR="009B4020" w:rsidRPr="009B4020" w:rsidRDefault="009B4020" w:rsidP="009B4020">
      <w:pPr>
        <w:pStyle w:val="Prrafodelista"/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9B402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 respetar las normas de uso de las diferentes instalaciones municipales reflejadas en un lugar visible del propio local municipal.</w:t>
      </w:r>
    </w:p>
    <w:p w14:paraId="1EECD257" w14:textId="77777777" w:rsidR="009B4020" w:rsidRPr="00124612" w:rsidRDefault="009B4020" w:rsidP="009B4020">
      <w:pPr>
        <w:pStyle w:val="Prrafodelista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E4E08E0" w14:textId="77777777" w:rsid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2B77F33" w14:textId="77777777" w:rsidR="003E1DA5" w:rsidRDefault="003E1DA5" w:rsidP="009B402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4978AE4" w14:textId="77777777" w:rsidR="003E1DA5" w:rsidRPr="00106985" w:rsidRDefault="003E1DA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4B80B9E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8" w:name="a15"/>
      <w:bookmarkEnd w:id="18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ARTÍCULO 15. Sanciones</w:t>
      </w:r>
    </w:p>
    <w:p w14:paraId="03A28E7C" w14:textId="77777777" w:rsidR="00106985" w:rsidRP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0E40D59C" w14:textId="77777777" w:rsidR="00106985" w:rsidRPr="00106985" w:rsidRDefault="00106985" w:rsidP="009B4020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Las sanciones a imponer en caso de comisión de las infracciones arriba indicadas, serán:</w:t>
      </w:r>
    </w:p>
    <w:p w14:paraId="684F7BBD" w14:textId="77777777" w:rsidR="00106985" w:rsidRPr="00124612" w:rsidRDefault="00106985" w:rsidP="00124612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Infracciones muy graves: hasta </w:t>
      </w:r>
      <w:r w:rsidR="004E7C0E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150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euros.</w:t>
      </w:r>
    </w:p>
    <w:p w14:paraId="4C4AF918" w14:textId="77777777" w:rsidR="00106985" w:rsidRPr="00124612" w:rsidRDefault="00106985" w:rsidP="00124612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Infracciones graves: hasta </w:t>
      </w:r>
      <w:r w:rsidR="00B44A57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100</w:t>
      </w:r>
      <w:r w:rsidR="00940D6B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euros.</w:t>
      </w:r>
    </w:p>
    <w:p w14:paraId="7342FC16" w14:textId="77777777" w:rsidR="00124612" w:rsidRPr="00124612" w:rsidRDefault="00106985" w:rsidP="00124612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Infracciones leves: hasta </w:t>
      </w:r>
      <w:r w:rsidR="00B44A57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5</w:t>
      </w:r>
      <w:r w:rsidR="00443BED"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0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euros.</w:t>
      </w:r>
    </w:p>
    <w:p w14:paraId="6BCDC72F" w14:textId="77777777" w:rsidR="00106985" w:rsidRPr="00124612" w:rsidRDefault="00124612" w:rsidP="00124612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Si se cometiesen infracciones muy graves por parte de uno o más vecinos en tres o más ocasiones, la Junta Vecinal de Carcedo de Bureba,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mediante</w:t>
      </w:r>
      <w:r w:rsidRPr="0012461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acuerdo plenario, podrá prohibir el acceso a las instalaciones municipales a los vecinos implicados.</w:t>
      </w:r>
    </w:p>
    <w:p w14:paraId="505F4531" w14:textId="77777777" w:rsidR="00106985" w:rsidRDefault="00106985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Las sanciones que pueden imponerse serán independientes de la indemnización de daños y perjuicios que proceda.</w:t>
      </w:r>
    </w:p>
    <w:p w14:paraId="71EE5106" w14:textId="77777777" w:rsidR="00AA0933" w:rsidRPr="00106985" w:rsidRDefault="00AA0933" w:rsidP="00124612">
      <w:pPr>
        <w:spacing w:before="100" w:beforeAutospacing="1" w:after="0" w:line="240" w:lineRule="auto"/>
        <w:ind w:firstLine="6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EA7466B" w14:textId="77777777" w:rsidR="00AA0933" w:rsidRPr="00106985" w:rsidRDefault="00AA0933" w:rsidP="00AA0933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DISPOSICIÓN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DEROGATORIA</w:t>
      </w:r>
    </w:p>
    <w:p w14:paraId="52455ECC" w14:textId="47AF61E6" w:rsidR="00AA0933" w:rsidRPr="00106985" w:rsidRDefault="00AA0933" w:rsidP="00AA0933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FA36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Quedan derogadas cuantas ordenanzas </w:t>
      </w:r>
      <w:r w:rsidR="00680EDE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locales</w:t>
      </w:r>
      <w:r w:rsidRPr="00FA36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se opongan a lo aquí regulado</w:t>
      </w:r>
    </w:p>
    <w:p w14:paraId="4A528F7A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C570D37" w14:textId="77777777" w:rsidR="00106985" w:rsidRPr="00106985" w:rsidRDefault="00106985" w:rsidP="00106985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1" w:color="808080"/>
        </w:pBdr>
        <w:shd w:val="clear" w:color="auto" w:fill="FFCC9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9" w:name="DFI"/>
      <w:bookmarkEnd w:id="19"/>
      <w:r w:rsidRPr="00106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DISPOSICIÓN FINAL </w:t>
      </w:r>
      <w:r w:rsidR="00AA09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ÚNICA</w:t>
      </w:r>
    </w:p>
    <w:p w14:paraId="12A2E547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0E4296A9" w14:textId="77777777" w:rsidR="00106985" w:rsidRPr="00106985" w:rsidRDefault="00106985" w:rsidP="00124612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presente Ordenanza será objeto de publicación íntegra en el </w:t>
      </w:r>
      <w:r w:rsidRPr="001069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Boletín Oficial de la Provincia</w:t>
      </w:r>
      <w:r w:rsidR="00AA093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 xml:space="preserve"> de Burgos</w:t>
      </w:r>
      <w:r w:rsidRPr="001069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,</w:t>
      </w:r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bookmarkStart w:id="20" w:name="_Hlk29906566"/>
      <w:r w:rsidRPr="0010698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entrando en vigor una vez haya transcurrido el plazo establecido en el artículo 70.2 de la Ley 7/1985, Reguladora de las Bases del Régimen Local.</w:t>
      </w:r>
      <w:bookmarkEnd w:id="20"/>
    </w:p>
    <w:p w14:paraId="2B9A77E9" w14:textId="77777777" w:rsidR="00106985" w:rsidRPr="00106985" w:rsidRDefault="00106985" w:rsidP="00106985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FF6E70E" w14:textId="77777777" w:rsidR="00106985" w:rsidRPr="00106985" w:rsidRDefault="00106985" w:rsidP="00106985">
      <w:pPr>
        <w:spacing w:before="100" w:beforeAutospacing="1" w:after="0" w:line="240" w:lineRule="auto"/>
        <w:ind w:firstLine="69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E0AF3E2" w14:textId="77777777" w:rsidR="00E61C1B" w:rsidRDefault="00E61C1B"/>
    <w:sectPr w:rsidR="00E61C1B" w:rsidSect="00E61C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0944" w14:textId="77777777" w:rsidR="005A5063" w:rsidRDefault="005A5063" w:rsidP="003E1DA5">
      <w:pPr>
        <w:spacing w:after="0" w:line="240" w:lineRule="auto"/>
      </w:pPr>
      <w:r>
        <w:separator/>
      </w:r>
    </w:p>
  </w:endnote>
  <w:endnote w:type="continuationSeparator" w:id="0">
    <w:p w14:paraId="5461B98E" w14:textId="77777777" w:rsidR="005A5063" w:rsidRDefault="005A5063" w:rsidP="003E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605116"/>
      <w:docPartObj>
        <w:docPartGallery w:val="Page Numbers (Bottom of Page)"/>
        <w:docPartUnique/>
      </w:docPartObj>
    </w:sdtPr>
    <w:sdtEndPr/>
    <w:sdtContent>
      <w:p w14:paraId="17B450A4" w14:textId="4F02C542" w:rsidR="003E1DA5" w:rsidRDefault="00680EDE">
        <w:pPr>
          <w:pStyle w:val="Piedepgina"/>
          <w:ind w:right="-864"/>
          <w:jc w:val="right"/>
        </w:pPr>
        <w:r>
          <w:rPr>
            <w:noProof/>
            <w:lang w:eastAsia="es-ES"/>
          </w:rPr>
          <mc:AlternateContent>
            <mc:Choice Requires="wpg">
              <w:drawing>
                <wp:inline distT="0" distB="0" distL="0" distR="0" wp14:anchorId="01502DB8" wp14:editId="34557F56">
                  <wp:extent cx="548640" cy="237490"/>
                  <wp:effectExtent l="9525" t="9525" r="13335" b="10160"/>
                  <wp:docPr id="1" name="Group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6AE27" w14:textId="1EB2C8AE" w:rsidR="003E1DA5" w:rsidRDefault="003E1DA5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69EC" w:rsidRPr="00D969E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1502DB8" id="Group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A/wqUr+AMAALkMAAAOAAAAAAAAAAAAAAAAAC4CAABk&#10;cnMvZTJvRG9jLnhtbFBLAQItABQABgAIAAAAIQDX/7N/3AAAAAMBAAAPAAAAAAAAAAAAAAAAAFIG&#10;AABkcnMvZG93bnJldi54bWxQSwUGAAAAAAQABADzAAAAWwcAAAAA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BF6AE27" w14:textId="1EB2C8AE" w:rsidR="003E1DA5" w:rsidRDefault="003E1DA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69EC" w:rsidRPr="00D969E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B86709A" w14:textId="77777777" w:rsidR="003E1DA5" w:rsidRDefault="003E1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A3BB" w14:textId="77777777" w:rsidR="005A5063" w:rsidRDefault="005A5063" w:rsidP="003E1DA5">
      <w:pPr>
        <w:spacing w:after="0" w:line="240" w:lineRule="auto"/>
      </w:pPr>
      <w:r>
        <w:separator/>
      </w:r>
    </w:p>
  </w:footnote>
  <w:footnote w:type="continuationSeparator" w:id="0">
    <w:p w14:paraId="7A760888" w14:textId="77777777" w:rsidR="005A5063" w:rsidRDefault="005A5063" w:rsidP="003E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8B1"/>
    <w:multiLevelType w:val="hybridMultilevel"/>
    <w:tmpl w:val="B8948ECA"/>
    <w:lvl w:ilvl="0" w:tplc="37288120">
      <w:numFmt w:val="bullet"/>
      <w:lvlText w:val="—"/>
      <w:lvlJc w:val="left"/>
      <w:pPr>
        <w:ind w:left="1417" w:hanging="360"/>
      </w:pPr>
      <w:rPr>
        <w:rFonts w:ascii="Verdana" w:eastAsia="Times New Roman" w:hAnsi="Verdana" w:cs="Times New Roman" w:hint="default"/>
      </w:rPr>
    </w:lvl>
    <w:lvl w:ilvl="1" w:tplc="37288120">
      <w:numFmt w:val="bullet"/>
      <w:lvlText w:val="—"/>
      <w:lvlJc w:val="left"/>
      <w:pPr>
        <w:ind w:left="2137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146D4D79"/>
    <w:multiLevelType w:val="hybridMultilevel"/>
    <w:tmpl w:val="C812D136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5DB"/>
    <w:multiLevelType w:val="hybridMultilevel"/>
    <w:tmpl w:val="5F84BC3A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7288120">
      <w:numFmt w:val="bullet"/>
      <w:lvlText w:val="—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6AD4"/>
    <w:multiLevelType w:val="hybridMultilevel"/>
    <w:tmpl w:val="1DACC168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73DD"/>
    <w:multiLevelType w:val="hybridMultilevel"/>
    <w:tmpl w:val="678CE068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063F"/>
    <w:multiLevelType w:val="multilevel"/>
    <w:tmpl w:val="86F00CD4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361D6"/>
    <w:multiLevelType w:val="hybridMultilevel"/>
    <w:tmpl w:val="137CFA14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B42"/>
    <w:multiLevelType w:val="hybridMultilevel"/>
    <w:tmpl w:val="13A866AA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19E7"/>
    <w:multiLevelType w:val="hybridMultilevel"/>
    <w:tmpl w:val="EBDE67D6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48F"/>
    <w:multiLevelType w:val="hybridMultilevel"/>
    <w:tmpl w:val="72BAE366"/>
    <w:lvl w:ilvl="0" w:tplc="37288120">
      <w:numFmt w:val="bullet"/>
      <w:lvlText w:val="—"/>
      <w:lvlJc w:val="left"/>
      <w:pPr>
        <w:ind w:left="1417" w:hanging="360"/>
      </w:pPr>
      <w:rPr>
        <w:rFonts w:ascii="Verdana" w:eastAsia="Times New Roman" w:hAnsi="Verdana" w:cs="Times New Roman" w:hint="default"/>
      </w:rPr>
    </w:lvl>
    <w:lvl w:ilvl="1" w:tplc="37288120">
      <w:numFmt w:val="bullet"/>
      <w:lvlText w:val="—"/>
      <w:lvlJc w:val="left"/>
      <w:pPr>
        <w:ind w:left="2137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64DC1527"/>
    <w:multiLevelType w:val="hybridMultilevel"/>
    <w:tmpl w:val="3AC4D602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7137F"/>
    <w:multiLevelType w:val="hybridMultilevel"/>
    <w:tmpl w:val="82C40466"/>
    <w:lvl w:ilvl="0" w:tplc="37288120">
      <w:numFmt w:val="bullet"/>
      <w:lvlText w:val="—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F42E389A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43817"/>
    <w:multiLevelType w:val="hybridMultilevel"/>
    <w:tmpl w:val="16DC5B54"/>
    <w:lvl w:ilvl="0" w:tplc="37288120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5"/>
    <w:rsid w:val="00086871"/>
    <w:rsid w:val="00106985"/>
    <w:rsid w:val="00124612"/>
    <w:rsid w:val="001439D8"/>
    <w:rsid w:val="00171373"/>
    <w:rsid w:val="00352727"/>
    <w:rsid w:val="003D7459"/>
    <w:rsid w:val="003E1DA5"/>
    <w:rsid w:val="00443BED"/>
    <w:rsid w:val="004761CF"/>
    <w:rsid w:val="004E7C0E"/>
    <w:rsid w:val="005409DF"/>
    <w:rsid w:val="005A5063"/>
    <w:rsid w:val="00680EDE"/>
    <w:rsid w:val="006E0FC1"/>
    <w:rsid w:val="00743705"/>
    <w:rsid w:val="007B412A"/>
    <w:rsid w:val="007D643A"/>
    <w:rsid w:val="008730BF"/>
    <w:rsid w:val="00940D6B"/>
    <w:rsid w:val="009B4020"/>
    <w:rsid w:val="009D50F9"/>
    <w:rsid w:val="00A62E91"/>
    <w:rsid w:val="00AA0933"/>
    <w:rsid w:val="00B44A57"/>
    <w:rsid w:val="00CE03CF"/>
    <w:rsid w:val="00D969EC"/>
    <w:rsid w:val="00E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7AB3D"/>
  <w15:docId w15:val="{F8789AA7-7720-43CB-BBD4-2E059DF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1B"/>
  </w:style>
  <w:style w:type="paragraph" w:styleId="Ttulo1">
    <w:name w:val="heading 1"/>
    <w:basedOn w:val="Normal"/>
    <w:link w:val="Ttulo1Car"/>
    <w:uiPriority w:val="9"/>
    <w:qFormat/>
    <w:rsid w:val="0010698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985"/>
    <w:rPr>
      <w:rFonts w:ascii="Times New Roman" w:eastAsia="Times New Roman" w:hAnsi="Times New Roman" w:cs="Times New Roman"/>
      <w:b/>
      <w:bCs/>
      <w:color w:val="333399"/>
      <w:kern w:val="36"/>
      <w:sz w:val="48"/>
      <w:szCs w:val="48"/>
      <w:lang w:eastAsia="es-ES"/>
    </w:rPr>
  </w:style>
  <w:style w:type="paragraph" w:customStyle="1" w:styleId="western">
    <w:name w:val="western"/>
    <w:basedOn w:val="Normal"/>
    <w:rsid w:val="00106985"/>
    <w:pPr>
      <w:spacing w:before="100" w:beforeAutospacing="1" w:after="0" w:line="36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40D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DA5"/>
  </w:style>
  <w:style w:type="paragraph" w:styleId="Piedepgina">
    <w:name w:val="footer"/>
    <w:basedOn w:val="Normal"/>
    <w:link w:val="PiedepginaCar"/>
    <w:uiPriority w:val="99"/>
    <w:unhideWhenUsed/>
    <w:rsid w:val="003E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ruiz garcia</dc:creator>
  <cp:lastModifiedBy>USUARIO</cp:lastModifiedBy>
  <cp:revision>2</cp:revision>
  <cp:lastPrinted>2019-07-02T19:19:00Z</cp:lastPrinted>
  <dcterms:created xsi:type="dcterms:W3CDTF">2021-05-17T13:01:00Z</dcterms:created>
  <dcterms:modified xsi:type="dcterms:W3CDTF">2021-05-17T13:01:00Z</dcterms:modified>
</cp:coreProperties>
</file>